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0B08" w14:textId="3834A673" w:rsidR="00457029" w:rsidRPr="00027F90" w:rsidRDefault="008A70E9" w:rsidP="00457029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Thermal</w:t>
      </w:r>
      <w:r w:rsidR="00BD3CCC">
        <w:rPr>
          <w:b/>
          <w:sz w:val="44"/>
          <w:szCs w:val="44"/>
          <w:u w:val="single"/>
        </w:rPr>
        <w:t xml:space="preserve"> </w:t>
      </w:r>
      <w:r w:rsidR="00FC4110">
        <w:rPr>
          <w:b/>
          <w:sz w:val="44"/>
          <w:szCs w:val="44"/>
          <w:u w:val="single"/>
        </w:rPr>
        <w:t xml:space="preserve">Equilibrium </w:t>
      </w:r>
      <w:r>
        <w:rPr>
          <w:b/>
          <w:sz w:val="44"/>
          <w:szCs w:val="44"/>
          <w:u w:val="single"/>
        </w:rPr>
        <w:t>Properties</w:t>
      </w:r>
    </w:p>
    <w:p w14:paraId="5D6E51E2" w14:textId="6D7BA528" w:rsidR="00457029" w:rsidRDefault="00457029" w:rsidP="00457029">
      <w:pPr>
        <w:pStyle w:val="NoSpacing"/>
      </w:pPr>
    </w:p>
    <w:p w14:paraId="57FC28F1" w14:textId="77777777" w:rsidR="00DA115E" w:rsidRDefault="00DA115E" w:rsidP="00457029">
      <w:pPr>
        <w:pStyle w:val="NoSpacing"/>
        <w:rPr>
          <w:sz w:val="24"/>
          <w:szCs w:val="24"/>
        </w:rPr>
      </w:pPr>
    </w:p>
    <w:p w14:paraId="7502CBB2" w14:textId="07475E5F" w:rsidR="00CC0429" w:rsidRPr="00DC31C6" w:rsidRDefault="00541700" w:rsidP="00457029">
      <w:pPr>
        <w:pStyle w:val="NoSpacing"/>
      </w:pPr>
      <w:r w:rsidRPr="00DC31C6">
        <w:t>We’ll take a look at a variety of thermal properties…</w:t>
      </w:r>
      <w:r w:rsidR="00EC5BCA" w:rsidRPr="00DC31C6">
        <w:t xml:space="preserve"> </w:t>
      </w:r>
    </w:p>
    <w:p w14:paraId="154B72FC" w14:textId="77777777" w:rsidR="00DC31C6" w:rsidRDefault="00DC31C6" w:rsidP="00457029">
      <w:pPr>
        <w:pStyle w:val="NoSpacing"/>
        <w:rPr>
          <w:rFonts w:cstheme="minorHAnsi"/>
          <w:sz w:val="24"/>
          <w:szCs w:val="24"/>
        </w:rPr>
      </w:pPr>
    </w:p>
    <w:p w14:paraId="1B7DD717" w14:textId="29EF14B2" w:rsidR="000053C6" w:rsidRPr="000053C6" w:rsidRDefault="00E54C56" w:rsidP="000053C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Magnetic</w:t>
      </w:r>
      <w:r w:rsidR="000053C6" w:rsidRPr="000053C6">
        <w:rPr>
          <w:b/>
          <w:sz w:val="28"/>
          <w:szCs w:val="28"/>
        </w:rPr>
        <w:t xml:space="preserve"> Susceptibility</w:t>
      </w:r>
    </w:p>
    <w:p w14:paraId="0CA0AB62" w14:textId="77777777" w:rsidR="00E54C56" w:rsidRPr="00DC31C6" w:rsidRDefault="00E54C56" w:rsidP="00E54C56">
      <w:pPr>
        <w:pStyle w:val="NoSpacing"/>
      </w:pPr>
      <w:r w:rsidRPr="00DC31C6">
        <w:t>Now let’s look at the magnetic susceptibility.  We’ll recall that it is defined via:</w:t>
      </w:r>
    </w:p>
    <w:p w14:paraId="0ADB7365" w14:textId="77777777" w:rsidR="00E54C56" w:rsidRPr="00DC31C6" w:rsidRDefault="00E54C56" w:rsidP="00E54C56">
      <w:pPr>
        <w:pStyle w:val="NoSpacing"/>
      </w:pPr>
    </w:p>
    <w:p w14:paraId="1FE6A44A" w14:textId="6E396001" w:rsidR="00E54C56" w:rsidRPr="008F1279" w:rsidRDefault="00E54C56" w:rsidP="00E54C56">
      <w:pPr>
        <w:pStyle w:val="NoSpacing"/>
        <w:rPr>
          <w:sz w:val="24"/>
          <w:szCs w:val="24"/>
        </w:rPr>
      </w:pPr>
      <w:r w:rsidRPr="00DC31C6">
        <w:object w:dxaOrig="2659" w:dyaOrig="360" w14:anchorId="7D10E7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5pt;height:18pt" o:ole="">
            <v:imagedata r:id="rId4" o:title=""/>
          </v:shape>
          <o:OLEObject Type="Embed" ProgID="Equation.DSMT4" ShapeID="_x0000_i1025" DrawAspect="Content" ObjectID="_1761895930" r:id="rId5"/>
        </w:object>
      </w:r>
    </w:p>
    <w:p w14:paraId="2A24FE40" w14:textId="77777777" w:rsidR="00E54C56" w:rsidRPr="00DC31C6" w:rsidRDefault="00E54C56" w:rsidP="00E54C56">
      <w:pPr>
        <w:pStyle w:val="NoSpacing"/>
      </w:pPr>
    </w:p>
    <w:p w14:paraId="3F5F1BF1" w14:textId="20E0E213" w:rsidR="00E54C56" w:rsidRDefault="00E54C56" w:rsidP="000053C6">
      <w:pPr>
        <w:pStyle w:val="NoSpacing"/>
      </w:pPr>
      <w:r>
        <w:t xml:space="preserve">The non-equilibrium paramagnetic susceptibility is calculated in the non-equilibrium folder.  If we take the limit that </w:t>
      </w:r>
      <w:r>
        <w:rPr>
          <w:rFonts w:ascii="Calibri" w:hAnsi="Calibri" w:cs="Calibri"/>
        </w:rPr>
        <w:t>ω</w:t>
      </w:r>
      <w:r>
        <w:t xml:space="preserve"> </w:t>
      </w:r>
      <w:r>
        <w:rPr>
          <w:rFonts w:ascii="Calibri" w:hAnsi="Calibri" w:cs="Calibri"/>
        </w:rPr>
        <w:t>→</w:t>
      </w:r>
      <w:r>
        <w:t xml:space="preserve"> 0 (and q </w:t>
      </w:r>
      <w:r>
        <w:rPr>
          <w:rFonts w:ascii="Calibri" w:hAnsi="Calibri" w:cs="Calibri"/>
        </w:rPr>
        <w:t>→</w:t>
      </w:r>
      <w:r>
        <w:t xml:space="preserve"> 0 too, why not?), we’ll get the constant field equilibrium susceptibility.  This is:</w:t>
      </w:r>
    </w:p>
    <w:p w14:paraId="5D5BC54F" w14:textId="77777777" w:rsidR="00E54C56" w:rsidRDefault="00E54C56" w:rsidP="000053C6">
      <w:pPr>
        <w:pStyle w:val="NoSpacing"/>
      </w:pPr>
    </w:p>
    <w:p w14:paraId="304DAEE0" w14:textId="1E9FCE6E" w:rsidR="00E54C56" w:rsidRDefault="009565C7" w:rsidP="00E54C56">
      <w:pPr>
        <w:pStyle w:val="NoSpacing"/>
      </w:pPr>
      <w:r w:rsidRPr="00F4208F">
        <w:rPr>
          <w:position w:val="-30"/>
        </w:rPr>
        <w:object w:dxaOrig="2180" w:dyaOrig="720" w14:anchorId="24AD5D44">
          <v:shape id="_x0000_i1026" type="#_x0000_t75" style="width:102pt;height:36.5pt" o:ole="" filled="t" fillcolor="#cfc">
            <v:imagedata r:id="rId6" o:title=""/>
          </v:shape>
          <o:OLEObject Type="Embed" ProgID="Equation.DSMT4" ShapeID="_x0000_i1026" DrawAspect="Content" ObjectID="_1761895931" r:id="rId7"/>
        </w:object>
      </w:r>
      <w:r w:rsidR="00E54C56">
        <w:t xml:space="preserve"> </w:t>
      </w:r>
    </w:p>
    <w:p w14:paraId="0E53BF3F" w14:textId="77777777" w:rsidR="000053C6" w:rsidRDefault="000053C6" w:rsidP="000053C6">
      <w:pPr>
        <w:pStyle w:val="NoSpacing"/>
      </w:pPr>
    </w:p>
    <w:p w14:paraId="703D2E42" w14:textId="49EA6FD0" w:rsidR="004F1776" w:rsidRPr="0066795F" w:rsidRDefault="004F1776" w:rsidP="000053C6">
      <w:pPr>
        <w:pStyle w:val="NoSpacing"/>
        <w:rPr>
          <w:sz w:val="24"/>
          <w:szCs w:val="24"/>
        </w:rPr>
      </w:pPr>
      <w:r w:rsidRPr="0066795F">
        <w:rPr>
          <w:sz w:val="24"/>
          <w:szCs w:val="24"/>
        </w:rPr>
        <w:t xml:space="preserve">But this is just the non-interacting result.  So nothing special.  </w:t>
      </w:r>
      <w:r w:rsidR="0066795F">
        <w:rPr>
          <w:sz w:val="24"/>
          <w:szCs w:val="24"/>
        </w:rPr>
        <w:t>And it plainly exhiibits paramagnetism.</w:t>
      </w:r>
    </w:p>
    <w:p w14:paraId="70F479CE" w14:textId="77777777" w:rsidR="004F1776" w:rsidRDefault="004F1776" w:rsidP="000053C6">
      <w:pPr>
        <w:pStyle w:val="NoSpacing"/>
      </w:pPr>
    </w:p>
    <w:p w14:paraId="638D5967" w14:textId="2D4CEACB" w:rsidR="004F1776" w:rsidRPr="004F1776" w:rsidRDefault="004F1776" w:rsidP="000053C6">
      <w:pPr>
        <w:pStyle w:val="NoSpacing"/>
        <w:rPr>
          <w:b/>
          <w:sz w:val="28"/>
          <w:szCs w:val="28"/>
        </w:rPr>
      </w:pPr>
      <w:r w:rsidRPr="004F1776">
        <w:rPr>
          <w:b/>
          <w:sz w:val="28"/>
          <w:szCs w:val="28"/>
        </w:rPr>
        <w:t>Ferromagnetism</w:t>
      </w:r>
      <w:r>
        <w:rPr>
          <w:b/>
          <w:sz w:val="28"/>
          <w:szCs w:val="28"/>
        </w:rPr>
        <w:t xml:space="preserve"> ??</w:t>
      </w:r>
    </w:p>
    <w:p w14:paraId="3DDC9A18" w14:textId="2FE4F71A" w:rsidR="000053C6" w:rsidRDefault="000053C6" w:rsidP="000053C6">
      <w:pPr>
        <w:pStyle w:val="NoSpacing"/>
      </w:pPr>
      <w:r w:rsidRPr="00DC31C6">
        <w:t xml:space="preserve">The Coulomb interaction itself </w:t>
      </w:r>
      <w:r w:rsidR="005816F0">
        <w:t>suggests</w:t>
      </w:r>
      <w:r w:rsidRPr="00DC31C6">
        <w:t xml:space="preserve"> a tendency for the e</w:t>
      </w:r>
      <w:r w:rsidRPr="00DC31C6">
        <w:rPr>
          <w:vertAlign w:val="superscript"/>
        </w:rPr>
        <w:t>-</w:t>
      </w:r>
      <w:r w:rsidRPr="00DC31C6">
        <w:t xml:space="preserve"> gas to exhibit Ferromagnetism.  </w:t>
      </w:r>
      <w:r w:rsidR="005816F0">
        <w:t xml:space="preserve">When the Coulomb interaction between conduction electrons leads to magnetic properties this is called </w:t>
      </w:r>
      <w:r w:rsidR="005816F0" w:rsidRPr="007679F2">
        <w:rPr>
          <w:i/>
          <w:color w:val="0066FF"/>
        </w:rPr>
        <w:t>itinerant</w:t>
      </w:r>
      <w:r w:rsidR="005816F0" w:rsidRPr="005816F0">
        <w:rPr>
          <w:i/>
        </w:rPr>
        <w:t xml:space="preserve"> </w:t>
      </w:r>
      <w:r w:rsidR="005816F0" w:rsidRPr="007679F2">
        <w:rPr>
          <w:i/>
          <w:color w:val="0066FF"/>
        </w:rPr>
        <w:t>exchange</w:t>
      </w:r>
      <w:r w:rsidR="005816F0">
        <w:t xml:space="preserve">.  </w:t>
      </w:r>
      <w:r w:rsidR="008824E6">
        <w:t>In this case, it</w:t>
      </w:r>
      <w:r w:rsidRPr="00DC31C6">
        <w:t xml:space="preserve"> happens because of the renormalized single particle spectrum.  </w:t>
      </w:r>
      <w:r w:rsidR="00092CC2">
        <w:t>Recall that we found under the HF approximation, the following energy</w:t>
      </w:r>
      <w:r w:rsidR="008C7DEE">
        <w:t xml:space="preserve"> spectrum</w:t>
      </w:r>
      <w:r w:rsidR="00092CC2">
        <w:t>:</w:t>
      </w:r>
      <w:r w:rsidR="008824E6">
        <w:t xml:space="preserve"> </w:t>
      </w:r>
    </w:p>
    <w:p w14:paraId="6D2AACFF" w14:textId="27A67C02" w:rsidR="008C7DEE" w:rsidRDefault="008C7DEE" w:rsidP="000053C6">
      <w:pPr>
        <w:pStyle w:val="NoSpacing"/>
      </w:pPr>
    </w:p>
    <w:p w14:paraId="38F028AD" w14:textId="4C0C22E6" w:rsidR="004029F5" w:rsidRDefault="004029F5" w:rsidP="000053C6">
      <w:pPr>
        <w:pStyle w:val="NoSpacing"/>
      </w:pPr>
      <w:r w:rsidRPr="00DA639F">
        <w:rPr>
          <w:position w:val="-32"/>
        </w:rPr>
        <w:object w:dxaOrig="6160" w:dyaOrig="760" w14:anchorId="1220EFB7">
          <v:shape id="_x0000_i1027" type="#_x0000_t75" style="width:308.5pt;height:38pt" o:ole="">
            <v:imagedata r:id="rId8" o:title=""/>
          </v:shape>
          <o:OLEObject Type="Embed" ProgID="Equation.DSMT4" ShapeID="_x0000_i1027" DrawAspect="Content" ObjectID="_1761895932" r:id="rId9"/>
        </w:object>
      </w:r>
    </w:p>
    <w:p w14:paraId="08A3A6E7" w14:textId="09469B20" w:rsidR="004029F5" w:rsidRDefault="004029F5" w:rsidP="000053C6">
      <w:pPr>
        <w:pStyle w:val="NoSpacing"/>
      </w:pPr>
    </w:p>
    <w:p w14:paraId="74B9DEBB" w14:textId="75BFD6F5" w:rsidR="004029F5" w:rsidRDefault="004029F5" w:rsidP="000053C6">
      <w:pPr>
        <w:pStyle w:val="NoSpacing"/>
      </w:pPr>
      <w:r>
        <w:t>which looked like the blue guy,</w:t>
      </w:r>
    </w:p>
    <w:p w14:paraId="14ACDC9F" w14:textId="77777777" w:rsidR="004029F5" w:rsidRDefault="004029F5" w:rsidP="000053C6">
      <w:pPr>
        <w:pStyle w:val="NoSpacing"/>
      </w:pPr>
    </w:p>
    <w:p w14:paraId="206B8953" w14:textId="4032A5DD" w:rsidR="008C7DEE" w:rsidRDefault="008C7DEE" w:rsidP="000053C6">
      <w:pPr>
        <w:pStyle w:val="NoSpacing"/>
      </w:pPr>
      <w:r w:rsidRPr="008C7DEE">
        <w:rPr>
          <w:noProof/>
        </w:rPr>
        <w:lastRenderedPageBreak/>
        <w:drawing>
          <wp:inline distT="0" distB="0" distL="0" distR="0" wp14:anchorId="79C79E89" wp14:editId="4F95C851">
            <wp:extent cx="2999509" cy="2414114"/>
            <wp:effectExtent l="0" t="0" r="0" b="5715"/>
            <wp:docPr id="2" name="Picture 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line char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8867" cy="242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1F256" w14:textId="5BA65C52" w:rsidR="008C7DEE" w:rsidRDefault="008C7DEE" w:rsidP="000053C6">
      <w:pPr>
        <w:pStyle w:val="NoSpacing"/>
      </w:pPr>
    </w:p>
    <w:p w14:paraId="183092ED" w14:textId="6DFEE452" w:rsidR="004029F5" w:rsidRDefault="004029F5" w:rsidP="000053C6">
      <w:pPr>
        <w:pStyle w:val="NoSpacing"/>
      </w:pPr>
      <w:r>
        <w:t>And also found the ground state energy,</w:t>
      </w:r>
    </w:p>
    <w:p w14:paraId="70386278" w14:textId="77777777" w:rsidR="004029F5" w:rsidRPr="00DC31C6" w:rsidRDefault="004029F5" w:rsidP="000053C6">
      <w:pPr>
        <w:pStyle w:val="NoSpacing"/>
      </w:pPr>
    </w:p>
    <w:p w14:paraId="3810E68F" w14:textId="234DCE8B" w:rsidR="000053C6" w:rsidRPr="00DC31C6" w:rsidRDefault="00CF51CC" w:rsidP="000053C6">
      <w:pPr>
        <w:pStyle w:val="NoSpacing"/>
      </w:pPr>
      <w:r w:rsidRPr="00DC31C6">
        <w:object w:dxaOrig="2040" w:dyaOrig="660" w14:anchorId="14E2336B">
          <v:shape id="_x0000_i1028" type="#_x0000_t75" style="width:93pt;height:33.5pt" o:ole="">
            <v:imagedata r:id="rId11" o:title=""/>
          </v:shape>
          <o:OLEObject Type="Embed" ProgID="Equation.DSMT4" ShapeID="_x0000_i1028" DrawAspect="Content" ObjectID="_1761895933" r:id="rId12"/>
        </w:object>
      </w:r>
    </w:p>
    <w:p w14:paraId="7B69DB1B" w14:textId="77777777" w:rsidR="000053C6" w:rsidRPr="00DC31C6" w:rsidRDefault="000053C6" w:rsidP="000053C6">
      <w:pPr>
        <w:pStyle w:val="NoSpacing"/>
      </w:pPr>
    </w:p>
    <w:p w14:paraId="27078EE0" w14:textId="7BC81AD0" w:rsidR="000053C6" w:rsidRPr="00480AD6" w:rsidRDefault="004029F5" w:rsidP="000053C6">
      <w:pPr>
        <w:pStyle w:val="NoSpacing"/>
      </w:pPr>
      <w:r>
        <w:t>which looks something like this, as a function of k</w:t>
      </w:r>
      <w:r>
        <w:rPr>
          <w:vertAlign w:val="subscript"/>
        </w:rPr>
        <w:t>F</w:t>
      </w:r>
      <w:r w:rsidR="00480AD6">
        <w:t xml:space="preserve"> (but note k</w:t>
      </w:r>
      <w:r w:rsidR="00480AD6">
        <w:rPr>
          <w:vertAlign w:val="subscript"/>
        </w:rPr>
        <w:t>F</w:t>
      </w:r>
      <w:r w:rsidR="00480AD6">
        <w:t xml:space="preserve"> depends on N too)</w:t>
      </w:r>
    </w:p>
    <w:p w14:paraId="6800E8C9" w14:textId="77777777" w:rsidR="000053C6" w:rsidRPr="00DC31C6" w:rsidRDefault="000053C6" w:rsidP="000053C6">
      <w:pPr>
        <w:pStyle w:val="NoSpacing"/>
        <w:rPr>
          <w:vertAlign w:val="subscript"/>
        </w:rPr>
      </w:pPr>
    </w:p>
    <w:p w14:paraId="05EF56D1" w14:textId="3DB8C6F5" w:rsidR="000053C6" w:rsidRPr="00DC31C6" w:rsidRDefault="00557C56" w:rsidP="000053C6">
      <w:pPr>
        <w:pStyle w:val="NoSpacing"/>
      </w:pPr>
      <w:r w:rsidRPr="00557C56">
        <w:rPr>
          <w:noProof/>
        </w:rPr>
        <w:drawing>
          <wp:inline distT="0" distB="0" distL="0" distR="0" wp14:anchorId="74B57673" wp14:editId="2417CF18">
            <wp:extent cx="1969299" cy="1874520"/>
            <wp:effectExtent l="0" t="0" r="0" b="0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72433" cy="1877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F7F51" w14:textId="77777777" w:rsidR="00557C56" w:rsidRDefault="00557C56" w:rsidP="000053C6">
      <w:pPr>
        <w:pStyle w:val="NoSpacing"/>
      </w:pPr>
    </w:p>
    <w:p w14:paraId="1EDB9D22" w14:textId="00BCCCF8" w:rsidR="00557C56" w:rsidRDefault="00557C56" w:rsidP="00B86F36">
      <w:pPr>
        <w:pStyle w:val="NoSpacing"/>
      </w:pPr>
      <w:r>
        <w:t>Our formula for E</w:t>
      </w:r>
      <w:r>
        <w:rPr>
          <w:vertAlign w:val="subscript"/>
        </w:rPr>
        <w:t>GS</w:t>
      </w:r>
      <w:r>
        <w:t xml:space="preserve"> presumed that we filled every momentum state with both spin up and down particles as we went along.  But </w:t>
      </w:r>
      <w:r w:rsidR="00B86F36">
        <w:t>apparently (so says Ashcroft &amp; Mermin), if we go back and analyze our calculation, then we’d find the spin up and spin down electrons kind of decouple, and we can specify any number N</w:t>
      </w:r>
      <w:r w:rsidR="00B86F36" w:rsidRPr="00B86F36">
        <w:rPr>
          <w:rFonts w:ascii="Cambria Math" w:hAnsi="Cambria Math"/>
          <w:vertAlign w:val="subscript"/>
        </w:rPr>
        <w:t>↓</w:t>
      </w:r>
      <w:r w:rsidR="00B86F36">
        <w:t xml:space="preserve"> and N</w:t>
      </w:r>
      <w:r w:rsidR="00B86F36">
        <w:rPr>
          <w:rFonts w:ascii="Cambria Math" w:hAnsi="Cambria Math"/>
          <w:vertAlign w:val="subscript"/>
        </w:rPr>
        <w:t>↑</w:t>
      </w:r>
      <w:r w:rsidR="00B86F36">
        <w:t xml:space="preserve"> spins in their own separate ground state configurations.  And we’d get the same formula for the energy too.  So we would then be able to say:</w:t>
      </w:r>
    </w:p>
    <w:p w14:paraId="16FCA518" w14:textId="77777777" w:rsidR="00557C56" w:rsidRDefault="00557C56" w:rsidP="000053C6">
      <w:pPr>
        <w:pStyle w:val="NoSpacing"/>
      </w:pPr>
    </w:p>
    <w:p w14:paraId="08BE559B" w14:textId="44D69BC7" w:rsidR="00557C56" w:rsidRDefault="00B86F36" w:rsidP="000053C6">
      <w:pPr>
        <w:pStyle w:val="NoSpacing"/>
      </w:pPr>
      <w:r w:rsidRPr="00B86F36">
        <w:rPr>
          <w:position w:val="-34"/>
        </w:rPr>
        <w:object w:dxaOrig="5720" w:dyaOrig="800" w14:anchorId="734B8B90">
          <v:shape id="_x0000_i1029" type="#_x0000_t75" style="width:285pt;height:42pt" o:ole="" filled="t" fillcolor="#cfc">
            <v:imagedata r:id="rId14" o:title=""/>
          </v:shape>
          <o:OLEObject Type="Embed" ProgID="Equation.DSMT4" ShapeID="_x0000_i1029" DrawAspect="Content" ObjectID="_1761895934" r:id="rId15"/>
        </w:object>
      </w:r>
    </w:p>
    <w:p w14:paraId="1B583285" w14:textId="77777777" w:rsidR="00557C56" w:rsidRDefault="00557C56" w:rsidP="000053C6">
      <w:pPr>
        <w:pStyle w:val="NoSpacing"/>
      </w:pPr>
    </w:p>
    <w:p w14:paraId="7D1025CF" w14:textId="266CBABA" w:rsidR="00D96532" w:rsidRDefault="00557C56" w:rsidP="000053C6">
      <w:pPr>
        <w:pStyle w:val="NoSpacing"/>
      </w:pPr>
      <w:r w:rsidRPr="00DC31C6">
        <w:t>such that N = N</w:t>
      </w:r>
      <w:r w:rsidRPr="00DC31C6">
        <w:rPr>
          <w:rFonts w:cstheme="minorHAnsi"/>
          <w:vertAlign w:val="subscript"/>
        </w:rPr>
        <w:t>↑</w:t>
      </w:r>
      <w:r w:rsidRPr="00DC31C6">
        <w:t xml:space="preserve"> + N</w:t>
      </w:r>
      <w:r w:rsidRPr="00DC31C6">
        <w:rPr>
          <w:rFonts w:cstheme="minorHAnsi"/>
          <w:vertAlign w:val="subscript"/>
        </w:rPr>
        <w:t>↓</w:t>
      </w:r>
      <w:r w:rsidRPr="00DC31C6">
        <w:t xml:space="preserve">.  </w:t>
      </w:r>
      <w:r w:rsidR="00BE4942">
        <w:t>In the old configuration, we had:</w:t>
      </w:r>
    </w:p>
    <w:p w14:paraId="34442B7E" w14:textId="364543E9" w:rsidR="00BE4942" w:rsidRDefault="00BE4942" w:rsidP="000053C6">
      <w:pPr>
        <w:pStyle w:val="NoSpacing"/>
      </w:pPr>
    </w:p>
    <w:p w14:paraId="1A4B11E5" w14:textId="66A514CF" w:rsidR="00BE4942" w:rsidRDefault="00BE4942" w:rsidP="000053C6">
      <w:pPr>
        <w:pStyle w:val="NoSpacing"/>
      </w:pPr>
      <w:r w:rsidRPr="006C14E0">
        <w:rPr>
          <w:position w:val="-44"/>
        </w:rPr>
        <w:object w:dxaOrig="1440" w:dyaOrig="999" w14:anchorId="431797AA">
          <v:shape id="_x0000_i1030" type="#_x0000_t75" style="width:1in;height:49.5pt" o:ole="">
            <v:imagedata r:id="rId16" o:title=""/>
          </v:shape>
          <o:OLEObject Type="Embed" ProgID="Equation.DSMT4" ShapeID="_x0000_i1030" DrawAspect="Content" ObjectID="_1761895935" r:id="rId17"/>
        </w:object>
      </w:r>
    </w:p>
    <w:p w14:paraId="661C2AD4" w14:textId="61A3FADA" w:rsidR="00BE4942" w:rsidRDefault="00BE4942" w:rsidP="000053C6">
      <w:pPr>
        <w:pStyle w:val="NoSpacing"/>
      </w:pPr>
    </w:p>
    <w:p w14:paraId="6ADB765A" w14:textId="4C1E98EF" w:rsidR="00BE4942" w:rsidRDefault="00BE4942" w:rsidP="000053C6">
      <w:pPr>
        <w:pStyle w:val="NoSpacing"/>
      </w:pPr>
      <w:r>
        <w:t>and so,</w:t>
      </w:r>
    </w:p>
    <w:p w14:paraId="4875D8E9" w14:textId="6C0F4E50" w:rsidR="00BE4942" w:rsidRDefault="00BE4942" w:rsidP="000053C6">
      <w:pPr>
        <w:pStyle w:val="NoSpacing"/>
      </w:pPr>
    </w:p>
    <w:p w14:paraId="223C53F1" w14:textId="5D79D852" w:rsidR="00BE4942" w:rsidRDefault="00BE4942" w:rsidP="000053C6">
      <w:pPr>
        <w:pStyle w:val="NoSpacing"/>
      </w:pPr>
      <w:r w:rsidRPr="00BE4942">
        <w:rPr>
          <w:position w:val="-108"/>
        </w:rPr>
        <w:object w:dxaOrig="4740" w:dyaOrig="2320" w14:anchorId="110C0734">
          <v:shape id="_x0000_i1031" type="#_x0000_t75" style="width:237pt;height:115.5pt" o:ole="">
            <v:imagedata r:id="rId18" o:title=""/>
          </v:shape>
          <o:OLEObject Type="Embed" ProgID="Equation.DSMT4" ShapeID="_x0000_i1031" DrawAspect="Content" ObjectID="_1761895936" r:id="rId19"/>
        </w:object>
      </w:r>
    </w:p>
    <w:p w14:paraId="3B297B57" w14:textId="77777777" w:rsidR="00D96532" w:rsidRDefault="00D96532" w:rsidP="000053C6">
      <w:pPr>
        <w:pStyle w:val="NoSpacing"/>
      </w:pPr>
    </w:p>
    <w:p w14:paraId="22DFF95D" w14:textId="7A8CF6BA" w:rsidR="00D96532" w:rsidRDefault="00BE4942" w:rsidP="000053C6">
      <w:pPr>
        <w:pStyle w:val="NoSpacing"/>
      </w:pPr>
      <w:r>
        <w:t xml:space="preserve">as expected.  But now let’s try: </w:t>
      </w:r>
    </w:p>
    <w:p w14:paraId="2889F15A" w14:textId="4EFCC08B" w:rsidR="00BE4942" w:rsidRDefault="00BE4942" w:rsidP="000053C6">
      <w:pPr>
        <w:pStyle w:val="NoSpacing"/>
      </w:pPr>
    </w:p>
    <w:p w14:paraId="51736CD6" w14:textId="580187CC" w:rsidR="00BE4942" w:rsidRDefault="00D501FC" w:rsidP="000053C6">
      <w:pPr>
        <w:pStyle w:val="NoSpacing"/>
      </w:pPr>
      <w:r w:rsidRPr="00BE4942">
        <w:rPr>
          <w:position w:val="-32"/>
        </w:rPr>
        <w:object w:dxaOrig="2220" w:dyaOrig="760" w14:anchorId="0CE2468B">
          <v:shape id="_x0000_i1032" type="#_x0000_t75" style="width:111pt;height:38pt" o:ole="">
            <v:imagedata r:id="rId20" o:title=""/>
          </v:shape>
          <o:OLEObject Type="Embed" ProgID="Equation.DSMT4" ShapeID="_x0000_i1032" DrawAspect="Content" ObjectID="_1761895937" r:id="rId21"/>
        </w:object>
      </w:r>
    </w:p>
    <w:p w14:paraId="4DC37FA4" w14:textId="60048AF2" w:rsidR="00D501FC" w:rsidRDefault="00D501FC" w:rsidP="000053C6">
      <w:pPr>
        <w:pStyle w:val="NoSpacing"/>
      </w:pPr>
    </w:p>
    <w:p w14:paraId="295353FC" w14:textId="366D7FF2" w:rsidR="00D501FC" w:rsidRDefault="00D501FC" w:rsidP="000053C6">
      <w:pPr>
        <w:pStyle w:val="NoSpacing"/>
      </w:pPr>
      <w:r>
        <w:t>(cause if we’re filling all spin up, then we’re taking up twice as many k-states, which means twice the volume of k-states, which means the radius of the Fermi sphere must increase by factor 2</w:t>
      </w:r>
      <w:r>
        <w:rPr>
          <w:vertAlign w:val="superscript"/>
        </w:rPr>
        <w:t>1/3</w:t>
      </w:r>
      <w:r>
        <w:t xml:space="preserve"> owing to V = (4</w:t>
      </w:r>
      <w:r>
        <w:rPr>
          <w:rFonts w:ascii="Calibri" w:hAnsi="Calibri" w:cs="Calibri"/>
        </w:rPr>
        <w:t>π</w:t>
      </w:r>
      <w:r>
        <w:t>/3)k</w:t>
      </w:r>
      <w:r>
        <w:rPr>
          <w:vertAlign w:val="subscript"/>
        </w:rPr>
        <w:t>F</w:t>
      </w:r>
      <w:r>
        <w:rPr>
          <w:vertAlign w:val="superscript"/>
        </w:rPr>
        <w:t>3</w:t>
      </w:r>
      <w:r>
        <w:t>.  So this energy would be:</w:t>
      </w:r>
    </w:p>
    <w:p w14:paraId="21D22914" w14:textId="167EA6A8" w:rsidR="00D501FC" w:rsidRDefault="00D501FC" w:rsidP="000053C6">
      <w:pPr>
        <w:pStyle w:val="NoSpacing"/>
      </w:pPr>
    </w:p>
    <w:p w14:paraId="13CC2BF6" w14:textId="5545115C" w:rsidR="00D501FC" w:rsidRPr="00D501FC" w:rsidRDefault="00546A28" w:rsidP="000053C6">
      <w:pPr>
        <w:pStyle w:val="NoSpacing"/>
      </w:pPr>
      <w:r w:rsidRPr="00D501FC">
        <w:rPr>
          <w:position w:val="-72"/>
        </w:rPr>
        <w:object w:dxaOrig="4740" w:dyaOrig="1560" w14:anchorId="16F524B0">
          <v:shape id="_x0000_i1033" type="#_x0000_t75" style="width:237pt;height:78pt" o:ole="">
            <v:imagedata r:id="rId22" o:title=""/>
          </v:shape>
          <o:OLEObject Type="Embed" ProgID="Equation.DSMT4" ShapeID="_x0000_i1033" DrawAspect="Content" ObjectID="_1761895938" r:id="rId23"/>
        </w:object>
      </w:r>
    </w:p>
    <w:p w14:paraId="64956695" w14:textId="77777777" w:rsidR="00BE4942" w:rsidRDefault="00BE4942" w:rsidP="000053C6">
      <w:pPr>
        <w:pStyle w:val="NoSpacing"/>
      </w:pPr>
    </w:p>
    <w:p w14:paraId="06AF382C" w14:textId="190037C6" w:rsidR="00546A28" w:rsidRDefault="00546A28" w:rsidP="000053C6">
      <w:pPr>
        <w:pStyle w:val="NoSpacing"/>
      </w:pPr>
      <w:r>
        <w:t xml:space="preserve">So when will the new energy be lower than the old?  </w:t>
      </w:r>
    </w:p>
    <w:p w14:paraId="38685576" w14:textId="15A361FE" w:rsidR="00546A28" w:rsidRDefault="00546A28" w:rsidP="000053C6">
      <w:pPr>
        <w:pStyle w:val="NoSpacing"/>
      </w:pPr>
    </w:p>
    <w:p w14:paraId="37F303BF" w14:textId="39B947E0" w:rsidR="00546A28" w:rsidRDefault="00462688" w:rsidP="000053C6">
      <w:pPr>
        <w:pStyle w:val="NoSpacing"/>
      </w:pPr>
      <w:r w:rsidRPr="00546A28">
        <w:rPr>
          <w:position w:val="-180"/>
        </w:rPr>
        <w:object w:dxaOrig="4560" w:dyaOrig="3360" w14:anchorId="3212E73A">
          <v:shape id="_x0000_i1034" type="#_x0000_t75" style="width:228pt;height:168pt" o:ole="">
            <v:imagedata r:id="rId24" o:title=""/>
          </v:shape>
          <o:OLEObject Type="Embed" ProgID="Equation.DSMT4" ShapeID="_x0000_i1034" DrawAspect="Content" ObjectID="_1761895939" r:id="rId25"/>
        </w:object>
      </w:r>
    </w:p>
    <w:p w14:paraId="32AC31DA" w14:textId="77777777" w:rsidR="00546A28" w:rsidRDefault="00546A28" w:rsidP="000053C6">
      <w:pPr>
        <w:pStyle w:val="NoSpacing"/>
      </w:pPr>
    </w:p>
    <w:p w14:paraId="3D9304DB" w14:textId="0B9FF490" w:rsidR="00546A28" w:rsidRDefault="00462688" w:rsidP="000053C6">
      <w:pPr>
        <w:pStyle w:val="NoSpacing"/>
      </w:pPr>
      <w:r>
        <w:t xml:space="preserve">In our units, the Bohr radius is </w:t>
      </w:r>
      <w:r w:rsidR="002806B2">
        <w:t>a</w:t>
      </w:r>
      <w:r w:rsidR="002806B2">
        <w:rPr>
          <w:vertAlign w:val="subscript"/>
        </w:rPr>
        <w:t>0</w:t>
      </w:r>
      <w:r w:rsidR="002806B2">
        <w:t xml:space="preserve"> = 1/me</w:t>
      </w:r>
      <w:r w:rsidR="002806B2">
        <w:rPr>
          <w:vertAlign w:val="superscript"/>
        </w:rPr>
        <w:t>2</w:t>
      </w:r>
      <w:r w:rsidR="002806B2">
        <w:t>.  So can write this as:</w:t>
      </w:r>
    </w:p>
    <w:p w14:paraId="1275F78E" w14:textId="52A6C1C0" w:rsidR="002806B2" w:rsidRDefault="002806B2" w:rsidP="000053C6">
      <w:pPr>
        <w:pStyle w:val="NoSpacing"/>
      </w:pPr>
    </w:p>
    <w:p w14:paraId="6263C14F" w14:textId="5E0BA463" w:rsidR="002806B2" w:rsidRDefault="0050206E" w:rsidP="000053C6">
      <w:pPr>
        <w:pStyle w:val="NoSpacing"/>
      </w:pPr>
      <w:r w:rsidRPr="002806B2">
        <w:rPr>
          <w:position w:val="-30"/>
        </w:rPr>
        <w:object w:dxaOrig="1840" w:dyaOrig="680" w14:anchorId="2A1F453F">
          <v:shape id="_x0000_i1035" type="#_x0000_t75" style="width:91.5pt;height:34pt" o:ole="" filled="t" fillcolor="#cfc">
            <v:imagedata r:id="rId26" o:title=""/>
          </v:shape>
          <o:OLEObject Type="Embed" ProgID="Equation.DSMT4" ShapeID="_x0000_i1035" DrawAspect="Content" ObjectID="_1761895940" r:id="rId27"/>
        </w:object>
      </w:r>
    </w:p>
    <w:p w14:paraId="035C298C" w14:textId="77777777" w:rsidR="002806B2" w:rsidRDefault="002806B2" w:rsidP="000053C6">
      <w:pPr>
        <w:pStyle w:val="NoSpacing"/>
      </w:pPr>
    </w:p>
    <w:p w14:paraId="09519B71" w14:textId="0711ACB1" w:rsidR="000053C6" w:rsidRPr="00DC31C6" w:rsidRDefault="0050206E" w:rsidP="000053C6">
      <w:pPr>
        <w:pStyle w:val="NoSpacing"/>
      </w:pPr>
      <w:r>
        <w:t>Recalling k</w:t>
      </w:r>
      <w:r>
        <w:rPr>
          <w:vertAlign w:val="subscript"/>
        </w:rPr>
        <w:t>F</w:t>
      </w:r>
      <w:r>
        <w:t xml:space="preserve"> = (3</w:t>
      </w:r>
      <w:r>
        <w:rPr>
          <w:rFonts w:ascii="Calibri" w:hAnsi="Calibri" w:cs="Calibri"/>
        </w:rPr>
        <w:t>π</w:t>
      </w:r>
      <w:r>
        <w:rPr>
          <w:vertAlign w:val="superscript"/>
        </w:rPr>
        <w:t>2</w:t>
      </w:r>
      <w:r>
        <w:t>n)</w:t>
      </w:r>
      <w:r>
        <w:rPr>
          <w:vertAlign w:val="superscript"/>
        </w:rPr>
        <w:t>1/3</w:t>
      </w:r>
      <w:r>
        <w:t xml:space="preserve">, this equation </w:t>
      </w:r>
      <w:r w:rsidR="002806B2">
        <w:t xml:space="preserve">predicts Ferromagnetism at low densities.  </w:t>
      </w:r>
      <w:r w:rsidR="000053C6" w:rsidRPr="00DC31C6">
        <w:t xml:space="preserve">But it turns out that </w:t>
      </w:r>
      <w:r w:rsidR="002806B2">
        <w:t>if we replace the Coulomb potential with the screened Coulomb potential, then the same analysis reveals Ferromagnetism at high densities rather.  Moral of the story, though, is that the ne</w:t>
      </w:r>
      <w:r w:rsidR="000053C6" w:rsidRPr="00DC31C6">
        <w:t xml:space="preserve">arly free electron model </w:t>
      </w:r>
      <w:r w:rsidR="002806B2">
        <w:t xml:space="preserve">probably does not apply to electrons responsible for magnetic behavior.  </w:t>
      </w:r>
      <w:r w:rsidR="002F1216">
        <w:t xml:space="preserve">And I think more serious calculations lead to the conclusion that nearly free electron (such as those in the s and p subshells) do not support Ferromagnetism.  </w:t>
      </w:r>
      <w:r w:rsidR="008824E6">
        <w:t xml:space="preserve">But in the tight binding model, we find there is support for ferromagnetism/antiferromagnetism, stemming from d-orbital electrons.  </w:t>
      </w:r>
    </w:p>
    <w:p w14:paraId="3FE1A88C" w14:textId="77777777" w:rsidR="000053C6" w:rsidRPr="00DC31C6" w:rsidRDefault="000053C6" w:rsidP="00457029">
      <w:pPr>
        <w:pStyle w:val="NoSpacing"/>
        <w:rPr>
          <w:rFonts w:cstheme="minorHAnsi"/>
        </w:rPr>
      </w:pPr>
    </w:p>
    <w:sectPr w:rsidR="000053C6" w:rsidRPr="00DC3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E6"/>
    <w:rsid w:val="00002241"/>
    <w:rsid w:val="000053C6"/>
    <w:rsid w:val="0001335F"/>
    <w:rsid w:val="00023BD8"/>
    <w:rsid w:val="00027F90"/>
    <w:rsid w:val="00040106"/>
    <w:rsid w:val="00060830"/>
    <w:rsid w:val="0006720E"/>
    <w:rsid w:val="0007604C"/>
    <w:rsid w:val="000769AD"/>
    <w:rsid w:val="00086ED9"/>
    <w:rsid w:val="00087059"/>
    <w:rsid w:val="00092CC2"/>
    <w:rsid w:val="0009420D"/>
    <w:rsid w:val="000B13F4"/>
    <w:rsid w:val="000B26D9"/>
    <w:rsid w:val="000D3ECF"/>
    <w:rsid w:val="000D5586"/>
    <w:rsid w:val="000D77EE"/>
    <w:rsid w:val="00110FA4"/>
    <w:rsid w:val="001249BC"/>
    <w:rsid w:val="00125E10"/>
    <w:rsid w:val="00126189"/>
    <w:rsid w:val="00133166"/>
    <w:rsid w:val="0013720D"/>
    <w:rsid w:val="001564BE"/>
    <w:rsid w:val="00190F34"/>
    <w:rsid w:val="00194B14"/>
    <w:rsid w:val="001A60C6"/>
    <w:rsid w:val="001A6AF5"/>
    <w:rsid w:val="001B7B66"/>
    <w:rsid w:val="001D2B3C"/>
    <w:rsid w:val="001E1DE0"/>
    <w:rsid w:val="001E5411"/>
    <w:rsid w:val="00215645"/>
    <w:rsid w:val="00226DF5"/>
    <w:rsid w:val="00240CA5"/>
    <w:rsid w:val="00257540"/>
    <w:rsid w:val="0026669B"/>
    <w:rsid w:val="00274AD5"/>
    <w:rsid w:val="00275B89"/>
    <w:rsid w:val="00276E4A"/>
    <w:rsid w:val="002806B2"/>
    <w:rsid w:val="0028211F"/>
    <w:rsid w:val="00285010"/>
    <w:rsid w:val="00287397"/>
    <w:rsid w:val="00292249"/>
    <w:rsid w:val="0029520C"/>
    <w:rsid w:val="002E547D"/>
    <w:rsid w:val="002E6CB7"/>
    <w:rsid w:val="002F1216"/>
    <w:rsid w:val="002F4456"/>
    <w:rsid w:val="003108B1"/>
    <w:rsid w:val="00343B58"/>
    <w:rsid w:val="003528E6"/>
    <w:rsid w:val="00356456"/>
    <w:rsid w:val="003731BD"/>
    <w:rsid w:val="00373F2F"/>
    <w:rsid w:val="003751FE"/>
    <w:rsid w:val="00381074"/>
    <w:rsid w:val="00395F3D"/>
    <w:rsid w:val="00396A10"/>
    <w:rsid w:val="003A4504"/>
    <w:rsid w:val="003A6D19"/>
    <w:rsid w:val="003B2AF0"/>
    <w:rsid w:val="003C0F16"/>
    <w:rsid w:val="003C72A3"/>
    <w:rsid w:val="003D2A81"/>
    <w:rsid w:val="003F5A77"/>
    <w:rsid w:val="004029F5"/>
    <w:rsid w:val="00407740"/>
    <w:rsid w:val="00417F3F"/>
    <w:rsid w:val="00423BB5"/>
    <w:rsid w:val="004349E5"/>
    <w:rsid w:val="00434A71"/>
    <w:rsid w:val="00435D40"/>
    <w:rsid w:val="00443BF6"/>
    <w:rsid w:val="0045279C"/>
    <w:rsid w:val="00457029"/>
    <w:rsid w:val="00462688"/>
    <w:rsid w:val="00480AD6"/>
    <w:rsid w:val="00482FD8"/>
    <w:rsid w:val="00483A79"/>
    <w:rsid w:val="004861C6"/>
    <w:rsid w:val="004939C5"/>
    <w:rsid w:val="0049416E"/>
    <w:rsid w:val="004B3578"/>
    <w:rsid w:val="004B39D7"/>
    <w:rsid w:val="004B4C12"/>
    <w:rsid w:val="004C5697"/>
    <w:rsid w:val="004E0B10"/>
    <w:rsid w:val="004E2085"/>
    <w:rsid w:val="004F1776"/>
    <w:rsid w:val="0050206E"/>
    <w:rsid w:val="00511393"/>
    <w:rsid w:val="00533C56"/>
    <w:rsid w:val="0053749B"/>
    <w:rsid w:val="00537DC5"/>
    <w:rsid w:val="0054089A"/>
    <w:rsid w:val="00541700"/>
    <w:rsid w:val="00541A8E"/>
    <w:rsid w:val="00545184"/>
    <w:rsid w:val="00546A28"/>
    <w:rsid w:val="00557C56"/>
    <w:rsid w:val="0056139F"/>
    <w:rsid w:val="005702E1"/>
    <w:rsid w:val="005816F0"/>
    <w:rsid w:val="00581959"/>
    <w:rsid w:val="0058310B"/>
    <w:rsid w:val="00593D05"/>
    <w:rsid w:val="005A3ADB"/>
    <w:rsid w:val="005A7B46"/>
    <w:rsid w:val="005C4023"/>
    <w:rsid w:val="005C5C41"/>
    <w:rsid w:val="005E57B0"/>
    <w:rsid w:val="00604D58"/>
    <w:rsid w:val="00622517"/>
    <w:rsid w:val="00623F4E"/>
    <w:rsid w:val="00633B0C"/>
    <w:rsid w:val="006543F6"/>
    <w:rsid w:val="00656218"/>
    <w:rsid w:val="00662D66"/>
    <w:rsid w:val="0066795F"/>
    <w:rsid w:val="00694C2C"/>
    <w:rsid w:val="0069663B"/>
    <w:rsid w:val="006B2A85"/>
    <w:rsid w:val="006C7D89"/>
    <w:rsid w:val="006E2751"/>
    <w:rsid w:val="006E5610"/>
    <w:rsid w:val="006F1AC5"/>
    <w:rsid w:val="006F3B41"/>
    <w:rsid w:val="00710603"/>
    <w:rsid w:val="007171C3"/>
    <w:rsid w:val="0072621B"/>
    <w:rsid w:val="00734E20"/>
    <w:rsid w:val="00744486"/>
    <w:rsid w:val="007452CC"/>
    <w:rsid w:val="00752F96"/>
    <w:rsid w:val="00755F78"/>
    <w:rsid w:val="007665DC"/>
    <w:rsid w:val="007679F2"/>
    <w:rsid w:val="00783F14"/>
    <w:rsid w:val="007921A9"/>
    <w:rsid w:val="007B4A82"/>
    <w:rsid w:val="007C1535"/>
    <w:rsid w:val="007C1EDF"/>
    <w:rsid w:val="007D1BD6"/>
    <w:rsid w:val="007D35E6"/>
    <w:rsid w:val="007D7D6A"/>
    <w:rsid w:val="007E1D10"/>
    <w:rsid w:val="007E55DC"/>
    <w:rsid w:val="0081419E"/>
    <w:rsid w:val="00824B68"/>
    <w:rsid w:val="00837B7B"/>
    <w:rsid w:val="00863993"/>
    <w:rsid w:val="008703B8"/>
    <w:rsid w:val="0087169A"/>
    <w:rsid w:val="00874286"/>
    <w:rsid w:val="008761D6"/>
    <w:rsid w:val="008800CC"/>
    <w:rsid w:val="008824E6"/>
    <w:rsid w:val="00884488"/>
    <w:rsid w:val="00884886"/>
    <w:rsid w:val="008861CE"/>
    <w:rsid w:val="00887517"/>
    <w:rsid w:val="00887F8A"/>
    <w:rsid w:val="00891DFD"/>
    <w:rsid w:val="00893C1B"/>
    <w:rsid w:val="00895604"/>
    <w:rsid w:val="00896D29"/>
    <w:rsid w:val="008A39E3"/>
    <w:rsid w:val="008A70E9"/>
    <w:rsid w:val="008B0298"/>
    <w:rsid w:val="008C4981"/>
    <w:rsid w:val="008C7DEE"/>
    <w:rsid w:val="008E2712"/>
    <w:rsid w:val="008E5065"/>
    <w:rsid w:val="008E5A15"/>
    <w:rsid w:val="008F1279"/>
    <w:rsid w:val="008F2EB8"/>
    <w:rsid w:val="008F38EE"/>
    <w:rsid w:val="008F3C3F"/>
    <w:rsid w:val="008F4027"/>
    <w:rsid w:val="008F5A06"/>
    <w:rsid w:val="0090277C"/>
    <w:rsid w:val="00907E6A"/>
    <w:rsid w:val="00914EA6"/>
    <w:rsid w:val="009217E4"/>
    <w:rsid w:val="0094026C"/>
    <w:rsid w:val="00942A2F"/>
    <w:rsid w:val="00953620"/>
    <w:rsid w:val="009565C7"/>
    <w:rsid w:val="00971516"/>
    <w:rsid w:val="00977EEB"/>
    <w:rsid w:val="00993C62"/>
    <w:rsid w:val="009A00D8"/>
    <w:rsid w:val="009B429E"/>
    <w:rsid w:val="009D3B47"/>
    <w:rsid w:val="009D3FB8"/>
    <w:rsid w:val="009D4EFF"/>
    <w:rsid w:val="009D5095"/>
    <w:rsid w:val="009F60ED"/>
    <w:rsid w:val="00A02FA0"/>
    <w:rsid w:val="00A04860"/>
    <w:rsid w:val="00A06980"/>
    <w:rsid w:val="00A07569"/>
    <w:rsid w:val="00A13953"/>
    <w:rsid w:val="00A2330D"/>
    <w:rsid w:val="00A32E60"/>
    <w:rsid w:val="00A53404"/>
    <w:rsid w:val="00A6649B"/>
    <w:rsid w:val="00A84A64"/>
    <w:rsid w:val="00A92EBE"/>
    <w:rsid w:val="00AD1036"/>
    <w:rsid w:val="00B370A4"/>
    <w:rsid w:val="00B46EE6"/>
    <w:rsid w:val="00B550E8"/>
    <w:rsid w:val="00B55D1D"/>
    <w:rsid w:val="00B86F36"/>
    <w:rsid w:val="00B8756E"/>
    <w:rsid w:val="00B9249E"/>
    <w:rsid w:val="00BB2A1C"/>
    <w:rsid w:val="00BB407A"/>
    <w:rsid w:val="00BB541F"/>
    <w:rsid w:val="00BC28D8"/>
    <w:rsid w:val="00BC3466"/>
    <w:rsid w:val="00BC5621"/>
    <w:rsid w:val="00BC6548"/>
    <w:rsid w:val="00BD3CCC"/>
    <w:rsid w:val="00BE4942"/>
    <w:rsid w:val="00BF1C45"/>
    <w:rsid w:val="00C05CD3"/>
    <w:rsid w:val="00C07A1F"/>
    <w:rsid w:val="00C115EC"/>
    <w:rsid w:val="00C16547"/>
    <w:rsid w:val="00C17865"/>
    <w:rsid w:val="00C20BA7"/>
    <w:rsid w:val="00C300D9"/>
    <w:rsid w:val="00C57313"/>
    <w:rsid w:val="00C5756D"/>
    <w:rsid w:val="00C60527"/>
    <w:rsid w:val="00C662F1"/>
    <w:rsid w:val="00C77C33"/>
    <w:rsid w:val="00CA40C5"/>
    <w:rsid w:val="00CA5553"/>
    <w:rsid w:val="00CA617A"/>
    <w:rsid w:val="00CB0253"/>
    <w:rsid w:val="00CB5CF4"/>
    <w:rsid w:val="00CC0429"/>
    <w:rsid w:val="00CC2620"/>
    <w:rsid w:val="00CE4218"/>
    <w:rsid w:val="00CF1B55"/>
    <w:rsid w:val="00CF43A0"/>
    <w:rsid w:val="00CF51CC"/>
    <w:rsid w:val="00D06943"/>
    <w:rsid w:val="00D35C90"/>
    <w:rsid w:val="00D501FC"/>
    <w:rsid w:val="00D609A8"/>
    <w:rsid w:val="00D65E0C"/>
    <w:rsid w:val="00D676AB"/>
    <w:rsid w:val="00D70CA1"/>
    <w:rsid w:val="00D82B35"/>
    <w:rsid w:val="00D862EE"/>
    <w:rsid w:val="00D96532"/>
    <w:rsid w:val="00D97DFF"/>
    <w:rsid w:val="00DA115E"/>
    <w:rsid w:val="00DB60A3"/>
    <w:rsid w:val="00DC31C6"/>
    <w:rsid w:val="00DC458B"/>
    <w:rsid w:val="00DD0681"/>
    <w:rsid w:val="00DD20F6"/>
    <w:rsid w:val="00DD35B0"/>
    <w:rsid w:val="00DD481F"/>
    <w:rsid w:val="00DF6E64"/>
    <w:rsid w:val="00E00322"/>
    <w:rsid w:val="00E01B54"/>
    <w:rsid w:val="00E137F1"/>
    <w:rsid w:val="00E47C38"/>
    <w:rsid w:val="00E5022F"/>
    <w:rsid w:val="00E5334F"/>
    <w:rsid w:val="00E54C56"/>
    <w:rsid w:val="00E54EFB"/>
    <w:rsid w:val="00E65D63"/>
    <w:rsid w:val="00E92D92"/>
    <w:rsid w:val="00EC31EB"/>
    <w:rsid w:val="00EC5BCA"/>
    <w:rsid w:val="00EC6D79"/>
    <w:rsid w:val="00EC7318"/>
    <w:rsid w:val="00ED19A8"/>
    <w:rsid w:val="00EE2591"/>
    <w:rsid w:val="00F05869"/>
    <w:rsid w:val="00F07FED"/>
    <w:rsid w:val="00F13AC1"/>
    <w:rsid w:val="00F220DE"/>
    <w:rsid w:val="00F338BD"/>
    <w:rsid w:val="00F33DB2"/>
    <w:rsid w:val="00F34ED9"/>
    <w:rsid w:val="00F35F27"/>
    <w:rsid w:val="00F36399"/>
    <w:rsid w:val="00F46D34"/>
    <w:rsid w:val="00F60EA0"/>
    <w:rsid w:val="00F641AC"/>
    <w:rsid w:val="00F675CA"/>
    <w:rsid w:val="00F70ED3"/>
    <w:rsid w:val="00F824C6"/>
    <w:rsid w:val="00F94969"/>
    <w:rsid w:val="00F964F1"/>
    <w:rsid w:val="00FA77CE"/>
    <w:rsid w:val="00FB028F"/>
    <w:rsid w:val="00FB5C6A"/>
    <w:rsid w:val="00FC4110"/>
    <w:rsid w:val="00FC43C3"/>
    <w:rsid w:val="00FC7E92"/>
    <w:rsid w:val="00FD19FD"/>
    <w:rsid w:val="00FE3FCD"/>
    <w:rsid w:val="00FF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8D8A6"/>
  <w15:chartTrackingRefBased/>
  <w15:docId w15:val="{208C1ACC-0949-4B0D-8892-686AC0D3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029"/>
    <w:pPr>
      <w:spacing w:after="0" w:line="240" w:lineRule="auto"/>
    </w:pPr>
  </w:style>
  <w:style w:type="character" w:styleId="CommentReference">
    <w:name w:val="annotation reference"/>
    <w:rsid w:val="00891D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24" Type="http://schemas.openxmlformats.org/officeDocument/2006/relationships/image" Target="media/image12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3456</TotalTime>
  <Pages>4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140</cp:revision>
  <dcterms:created xsi:type="dcterms:W3CDTF">2019-08-06T00:12:00Z</dcterms:created>
  <dcterms:modified xsi:type="dcterms:W3CDTF">2023-11-19T15:42:00Z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